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10. SINIF  ELEKTRİKLİ ARAç TEKNOLOJİSİ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