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RADYO TELEVZYON ALANI 11. SINIF  TELEV̇ZYON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