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GS.9.1.1. Sanat dalları ile ilgili görsel kılavuz tasarlayabilme</w:t>
            </w:r>
          </w:p>
        </w:tc>
        <w:tc>
          <w:tcPr>
            <w:tcW w:w="3402" w:type="dxa"/>
            <w:vAlign w:val="center"/>
          </w:tcPr>
          <w:p w:rsidR="00FE0D3B" w:rsidRPr="00FE0D3B" w:rsidRDefault="00FE0D3B" w:rsidP="001C2F89">
            <w:pPr>
              <w:rPr>
                <w:sz w:val="14"/>
                <w:szCs w:val="14"/>
              </w:rPr>
            </w:pPr>
            <w:r w:rsidRPr="00FE0D3B">
              <w:rPr>
                <w:sz w:val="14"/>
                <w:szCs w:val="14"/>
              </w:rPr>
              <w:t>a Sanat dallarını inceler. b Sanat dalları bağlamında oluşturulan imgeleri ifade eder.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Sanat Dalları ile İlgili Görsel Kılavuz Hazırlama</w:t>
            </w:r>
          </w:p>
        </w:tc>
        <w:tc>
          <w:tcPr>
            <w:tcW w:w="2410" w:type="dxa"/>
            <w:vAlign w:val="center"/>
          </w:tcPr>
          <w:p w:rsidR="00FE0D3B" w:rsidRPr="00FE0D3B" w:rsidRDefault="00FE0D3B" w:rsidP="001C2F89">
            <w:pPr>
              <w:rPr>
                <w:sz w:val="14"/>
                <w:szCs w:val="14"/>
              </w:rPr>
            </w:pPr>
            <w:r w:rsidRPr="00FE0D3B">
              <w:rPr>
                <w:sz w:val="14"/>
                <w:szCs w:val="14"/>
              </w:rPr>
              <w:t>GS.9.1.2. Sanat dalları ile ilgili görsel kılavuz oluşturabilme</w:t>
            </w:r>
          </w:p>
        </w:tc>
        <w:tc>
          <w:tcPr>
            <w:tcW w:w="3402" w:type="dxa"/>
            <w:vAlign w:val="center"/>
          </w:tcPr>
          <w:p w:rsidR="00FE0D3B" w:rsidRPr="00FE0D3B" w:rsidRDefault="00FE0D3B" w:rsidP="001C2F89">
            <w:pPr>
              <w:rPr>
                <w:sz w:val="14"/>
                <w:szCs w:val="14"/>
              </w:rPr>
            </w:pPr>
            <w:r w:rsidRPr="00FE0D3B">
              <w:rPr>
                <w:sz w:val="14"/>
                <w:szCs w:val="14"/>
              </w:rPr>
              <w:t>a Görsel kılavuz hazırlamaya uygun görsel anlatım araçlarını ifade eder. b Sanat dalları ile ilgili tasarımı görsel kılavuza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Kendine Mal Etme Yaklaşımı</w:t>
            </w:r>
          </w:p>
        </w:tc>
        <w:tc>
          <w:tcPr>
            <w:tcW w:w="2410" w:type="dxa"/>
            <w:vAlign w:val="center"/>
          </w:tcPr>
          <w:p w:rsidR="00FE0D3B" w:rsidRPr="00FE0D3B" w:rsidRDefault="00FE0D3B" w:rsidP="001C2F89">
            <w:pPr>
              <w:rPr>
                <w:sz w:val="14"/>
                <w:szCs w:val="14"/>
              </w:rPr>
            </w:pPr>
            <w:r w:rsidRPr="00FE0D3B">
              <w:rPr>
                <w:sz w:val="14"/>
                <w:szCs w:val="14"/>
              </w:rPr>
              <w:t>GS.9.1.3. Kendine mal etme yaklaşımı ile görsel kompozisyon oluşturabilme</w:t>
            </w:r>
          </w:p>
        </w:tc>
        <w:tc>
          <w:tcPr>
            <w:tcW w:w="3402" w:type="dxa"/>
            <w:vAlign w:val="center"/>
          </w:tcPr>
          <w:p w:rsidR="00FE0D3B" w:rsidRPr="00FE0D3B" w:rsidRDefault="00FE0D3B" w:rsidP="001C2F89">
            <w:pPr>
              <w:rPr>
                <w:sz w:val="14"/>
                <w:szCs w:val="14"/>
              </w:rPr>
            </w:pPr>
            <w:r w:rsidRPr="00FE0D3B">
              <w:rPr>
                <w:sz w:val="14"/>
                <w:szCs w:val="14"/>
              </w:rPr>
              <w:t>a Kendine mal etme yaklaşımına uygun görsel anlatım araçlarını ifade eder. b Belirlenen görseli kendine mal etme yaklaşımı ile görsel kompozisyona dönüştürür.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GS.9.2.1. Görsel tasarım öge ve ilkeleri ile sanatsal ürün tasarlayabilme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ilkelerini inceler. b Görsel tasarım öge ve ilkeleri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Görsel Tasarım Öge ve İlkeleri ile Sanatsal Üretimi</w:t>
            </w:r>
          </w:p>
        </w:tc>
        <w:tc>
          <w:tcPr>
            <w:tcW w:w="2410" w:type="dxa"/>
            <w:vAlign w:val="center"/>
          </w:tcPr>
          <w:p w:rsidR="00FE0D3B" w:rsidRPr="00FE0D3B" w:rsidRDefault="00FE0D3B" w:rsidP="001C2F89">
            <w:pPr>
              <w:rPr>
                <w:sz w:val="14"/>
                <w:szCs w:val="14"/>
              </w:rPr>
            </w:pPr>
            <w:r w:rsidRPr="00FE0D3B">
              <w:rPr>
                <w:sz w:val="14"/>
                <w:szCs w:val="14"/>
              </w:rPr>
              <w:t>GS.9.2.2. Görsel tasarım öge ve ilkeleri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Görsel tasarım öge ve ilkelerine uygun görsel anlatım araçlarını ifade eder. b Görsel tasarım öge ve ilkelerini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 GS.9.2.3. Üç boyutlu geometrik nesnelerin perspektif çizimini tasarlayabilme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 inceler. b Üç boyutlu geometrik nesnelerin perspektif görünümünü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Geometrik Nesnelerle Perspektif Çizimi</w:t>
            </w:r>
          </w:p>
        </w:tc>
        <w:tc>
          <w:tcPr>
            <w:tcW w:w="2410" w:type="dxa"/>
            <w:vAlign w:val="center"/>
          </w:tcPr>
          <w:p w:rsidR="00FE0D3B" w:rsidRPr="00FE0D3B" w:rsidRDefault="00FE0D3B" w:rsidP="001C2F89">
            <w:pPr>
              <w:rPr>
                <w:sz w:val="14"/>
                <w:szCs w:val="14"/>
              </w:rPr>
            </w:pPr>
            <w:r w:rsidRPr="00FE0D3B">
              <w:rPr>
                <w:sz w:val="14"/>
                <w:szCs w:val="14"/>
              </w:rPr>
              <w:t>1. Dönem 1. Sınav GS.9.2.4. Üç boyutlu geometrik nesnelerin perspektif çizimini oluşturabilme</w:t>
            </w:r>
          </w:p>
        </w:tc>
        <w:tc>
          <w:tcPr>
            <w:tcW w:w="3402" w:type="dxa"/>
            <w:vAlign w:val="center"/>
          </w:tcPr>
          <w:p w:rsidR="00FE0D3B" w:rsidRPr="00FE0D3B" w:rsidRDefault="00FE0D3B" w:rsidP="001C2F89">
            <w:pPr>
              <w:rPr>
                <w:sz w:val="14"/>
                <w:szCs w:val="14"/>
              </w:rPr>
            </w:pPr>
            <w:r w:rsidRPr="00FE0D3B">
              <w:rPr>
                <w:sz w:val="14"/>
                <w:szCs w:val="14"/>
              </w:rPr>
              <w:t>a Üç boyutlu geometrik nesnelerin perspektif çizimine uygun anlatım araçlarını belirler. b Üç boyutlu geometrik nesnelerin görünümünü perspektif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Renk Armonileri ile Sanatsal Üretim</w:t>
            </w:r>
          </w:p>
        </w:tc>
        <w:tc>
          <w:tcPr>
            <w:tcW w:w="2410" w:type="dxa"/>
            <w:vAlign w:val="center"/>
          </w:tcPr>
          <w:p w:rsidR="00FE0D3B" w:rsidRPr="00FE0D3B" w:rsidRDefault="00FE0D3B" w:rsidP="001C2F89">
            <w:pPr>
              <w:rPr>
                <w:sz w:val="14"/>
                <w:szCs w:val="14"/>
              </w:rPr>
            </w:pPr>
            <w:r w:rsidRPr="00FE0D3B">
              <w:rPr>
                <w:sz w:val="14"/>
                <w:szCs w:val="14"/>
              </w:rPr>
              <w:t>GS.9.2.5. Renk armonileri ile sanatsal ürün oluşturabilme</w:t>
            </w:r>
          </w:p>
        </w:tc>
        <w:tc>
          <w:tcPr>
            <w:tcW w:w="3402" w:type="dxa"/>
            <w:vAlign w:val="center"/>
          </w:tcPr>
          <w:p w:rsidR="00FE0D3B" w:rsidRPr="00FE0D3B" w:rsidRDefault="00FE0D3B" w:rsidP="001C2F89">
            <w:pPr>
              <w:rPr>
                <w:sz w:val="14"/>
                <w:szCs w:val="14"/>
              </w:rPr>
            </w:pPr>
            <w:r w:rsidRPr="00FE0D3B">
              <w:rPr>
                <w:sz w:val="14"/>
                <w:szCs w:val="14"/>
              </w:rPr>
              <w:t>a Renk armonileri uygulamasına uygun görsel anlatım araçlarını ifade eder. b Renk armonileri uygulamasını sanatsal ürüne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GS.9.2.6. Natürmort çizimi tasarlayabilme</w:t>
            </w:r>
          </w:p>
        </w:tc>
        <w:tc>
          <w:tcPr>
            <w:tcW w:w="3402" w:type="dxa"/>
            <w:vAlign w:val="center"/>
          </w:tcPr>
          <w:p w:rsidR="00FE0D3B" w:rsidRPr="00FE0D3B" w:rsidRDefault="00FE0D3B" w:rsidP="001C2F89">
            <w:pPr>
              <w:rPr>
                <w:sz w:val="14"/>
                <w:szCs w:val="14"/>
              </w:rPr>
            </w:pPr>
            <w:r w:rsidRPr="00FE0D3B">
              <w:rPr>
                <w:sz w:val="14"/>
                <w:szCs w:val="14"/>
              </w:rPr>
              <w:t>a Natürmort çizimi için doğal ve yapay nesnelerin yapısal özelliklerini inceler. b Natürmort çizimi için doğal ve yapay nesneler bağlamında oluşturduğu imgeleri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Natürmort Çizimi</w:t>
            </w:r>
          </w:p>
        </w:tc>
        <w:tc>
          <w:tcPr>
            <w:tcW w:w="2410" w:type="dxa"/>
            <w:vAlign w:val="center"/>
          </w:tcPr>
          <w:p w:rsidR="00FE0D3B" w:rsidRPr="00FE0D3B" w:rsidRDefault="00FE0D3B" w:rsidP="001C2F89">
            <w:pPr>
              <w:rPr>
                <w:sz w:val="14"/>
                <w:szCs w:val="14"/>
              </w:rPr>
            </w:pPr>
            <w:r w:rsidRPr="00FE0D3B">
              <w:rPr>
                <w:sz w:val="14"/>
                <w:szCs w:val="14"/>
              </w:rPr>
              <w:t>GS.9.2.7. Natürmort çizimi oluşturabilme</w:t>
            </w:r>
          </w:p>
        </w:tc>
        <w:tc>
          <w:tcPr>
            <w:tcW w:w="3402" w:type="dxa"/>
            <w:vAlign w:val="center"/>
          </w:tcPr>
          <w:p w:rsidR="00FE0D3B" w:rsidRPr="00FE0D3B" w:rsidRDefault="00FE0D3B" w:rsidP="001C2F89">
            <w:pPr>
              <w:rPr>
                <w:sz w:val="14"/>
                <w:szCs w:val="14"/>
              </w:rPr>
            </w:pPr>
            <w:r w:rsidRPr="00FE0D3B">
              <w:rPr>
                <w:sz w:val="14"/>
                <w:szCs w:val="14"/>
              </w:rPr>
              <w:t>a Natürmort çizimine uygun görsel anlatım araçlarını ifade eder. b Doğal ve yapay nesnelerle oluşturduğu kompozisyonu natürmort çizimine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GS.9.2.8. Yüzey doku ilişkisi ile rölyef tasarlayabilme</w:t>
            </w:r>
          </w:p>
        </w:tc>
        <w:tc>
          <w:tcPr>
            <w:tcW w:w="3402" w:type="dxa"/>
            <w:vAlign w:val="center"/>
          </w:tcPr>
          <w:p w:rsidR="00FE0D3B" w:rsidRPr="00FE0D3B" w:rsidRDefault="00FE0D3B" w:rsidP="001C2F89">
            <w:pPr>
              <w:rPr>
                <w:sz w:val="14"/>
                <w:szCs w:val="14"/>
              </w:rPr>
            </w:pPr>
            <w:r w:rsidRPr="00FE0D3B">
              <w:rPr>
                <w:sz w:val="14"/>
                <w:szCs w:val="14"/>
              </w:rPr>
              <w:t>a Yüzey doku ilişkisi içeren rölyef çalışmalarını inceler. b Rölyef çalışması ile ilgili oluşturduğu imgeleri eskizle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Yüzey Doku Iliskisi ile Rölyef Yapımı</w:t>
            </w:r>
          </w:p>
        </w:tc>
        <w:tc>
          <w:tcPr>
            <w:tcW w:w="2410" w:type="dxa"/>
            <w:vAlign w:val="center"/>
          </w:tcPr>
          <w:p w:rsidR="00FE0D3B" w:rsidRPr="00FE0D3B" w:rsidRDefault="00FE0D3B" w:rsidP="001C2F89">
            <w:pPr>
              <w:rPr>
                <w:sz w:val="14"/>
                <w:szCs w:val="14"/>
              </w:rPr>
            </w:pPr>
            <w:r w:rsidRPr="00FE0D3B">
              <w:rPr>
                <w:sz w:val="14"/>
                <w:szCs w:val="14"/>
              </w:rPr>
              <w:t>GS.9.2.9. Yüzey doku ilişkisi ile rölyef oluşturabilme</w:t>
            </w:r>
          </w:p>
        </w:tc>
        <w:tc>
          <w:tcPr>
            <w:tcW w:w="3402" w:type="dxa"/>
            <w:vAlign w:val="center"/>
          </w:tcPr>
          <w:p w:rsidR="00FE0D3B" w:rsidRPr="00FE0D3B" w:rsidRDefault="00FE0D3B" w:rsidP="001C2F89">
            <w:pPr>
              <w:rPr>
                <w:sz w:val="14"/>
                <w:szCs w:val="14"/>
              </w:rPr>
            </w:pPr>
            <w:r w:rsidRPr="00FE0D3B">
              <w:rPr>
                <w:sz w:val="14"/>
                <w:szCs w:val="14"/>
              </w:rPr>
              <w:t>a Rölyef çalışması için görsel anlatım araçlarını belirler. b Yüzey doku ilişkisi içeren eskiz çalışmasını rölyefe dönüştürür.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D6. Dürüstlük D7. Estetik D16. Sorumluluk D18. Temizlik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 GS.9.3.1. İslamiyet öncesi Türk sanat eserini sanatsal olarak betimleyebilme GS.9.3.2. İslamiyet öncesi Türk sanat eserini sanatsal olarak çözümleyebilme</w:t>
            </w:r>
          </w:p>
        </w:tc>
        <w:tc>
          <w:tcPr>
            <w:tcW w:w="3402" w:type="dxa"/>
            <w:vAlign w:val="center"/>
          </w:tcPr>
          <w:p w:rsidR="00FE0D3B" w:rsidRPr="00FE0D3B" w:rsidRDefault="00FE0D3B" w:rsidP="001C2F89">
            <w:pPr>
              <w:rPr>
                <w:sz w:val="14"/>
                <w:szCs w:val="14"/>
              </w:rPr>
            </w:pPr>
            <w:r w:rsidRPr="00FE0D3B">
              <w:rPr>
                <w:sz w:val="14"/>
                <w:szCs w:val="14"/>
              </w:rPr>
              <w:t>a Eser ile ilgili bilgileri tespit eder. b Eserde görülenleri ifade eder. a Eserdeki görsel bileşenlerikonuyukonuyu oluşturan bileşenleri belirler. b Eserdeki görsel bileşenlerkonuyu oluşturan bileşenler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 Eserinin İncelenmesi</w:t>
            </w:r>
          </w:p>
        </w:tc>
        <w:tc>
          <w:tcPr>
            <w:tcW w:w="2410" w:type="dxa"/>
            <w:vAlign w:val="center"/>
          </w:tcPr>
          <w:p w:rsidR="00FE0D3B" w:rsidRPr="00FE0D3B" w:rsidRDefault="00FE0D3B" w:rsidP="001C2F89">
            <w:pPr>
              <w:rPr>
                <w:sz w:val="14"/>
                <w:szCs w:val="14"/>
              </w:rPr>
            </w:pPr>
            <w:r w:rsidRPr="00FE0D3B">
              <w:rPr>
                <w:sz w:val="14"/>
                <w:szCs w:val="14"/>
              </w:rPr>
              <w:t>1. Dönem 2. Sınav GS.9.3.3. İslamiyet öncesi Türk sanat eserini sanatsal olarak yorumlayabilme GS.9.3.4. İslamiyet öncesi Türk sanat eseri ile ilgili sanatsal yargıda bulunabilme</w:t>
            </w:r>
          </w:p>
        </w:tc>
        <w:tc>
          <w:tcPr>
            <w:tcW w:w="3402" w:type="dxa"/>
            <w:vAlign w:val="center"/>
          </w:tcPr>
          <w:p w:rsidR="00FE0D3B" w:rsidRPr="00FE0D3B" w:rsidRDefault="00FE0D3B" w:rsidP="001C2F89">
            <w:pPr>
              <w:rPr>
                <w:sz w:val="14"/>
                <w:szCs w:val="14"/>
              </w:rPr>
            </w:pPr>
            <w:r w:rsidRPr="00FE0D3B">
              <w:rPr>
                <w:sz w:val="14"/>
                <w:szCs w:val="14"/>
              </w:rPr>
              <w:t>a Eserin konusuyla görsel bileşenlerkonuyu oluşturan bileşenler arasında ilişki kurar. b Eserin temasınadestekleyici temalarına ilişkin çıkarım yapar. a Eserin özelliklerini belirli ölçütler ile karşılaştırır. b Eser hakkında ölçütler çerçevesinde karar verir.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GS.9.3.5. İslamiyet öncesi Türk sanatına özgü motiflerden yararlanarak tekstil desenitasarlayabilme</w:t>
            </w:r>
          </w:p>
        </w:tc>
        <w:tc>
          <w:tcPr>
            <w:tcW w:w="3402" w:type="dxa"/>
            <w:vAlign w:val="center"/>
          </w:tcPr>
          <w:p w:rsidR="00FE0D3B" w:rsidRPr="00FE0D3B" w:rsidRDefault="00FE0D3B" w:rsidP="001C2F89">
            <w:pPr>
              <w:rPr>
                <w:sz w:val="14"/>
                <w:szCs w:val="14"/>
              </w:rPr>
            </w:pPr>
            <w:r w:rsidRPr="00FE0D3B">
              <w:rPr>
                <w:sz w:val="14"/>
                <w:szCs w:val="14"/>
              </w:rPr>
              <w:t>a İslamiyet öncesi Türk sanatının özelliklerini inceler. b İslamiyet öncesi Türk sanatının özellikleri bağlamında oluşturduğu imgeleri eskizlerle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Islamiyet Öncesi Türk Sanatına Özgü Motif Tasarımı</w:t>
            </w:r>
          </w:p>
        </w:tc>
        <w:tc>
          <w:tcPr>
            <w:tcW w:w="2410" w:type="dxa"/>
            <w:vAlign w:val="center"/>
          </w:tcPr>
          <w:p w:rsidR="00FE0D3B" w:rsidRPr="00FE0D3B" w:rsidRDefault="00FE0D3B" w:rsidP="001C2F89">
            <w:pPr>
              <w:rPr>
                <w:sz w:val="14"/>
                <w:szCs w:val="14"/>
              </w:rPr>
            </w:pPr>
            <w:r w:rsidRPr="00FE0D3B">
              <w:rPr>
                <w:sz w:val="14"/>
                <w:szCs w:val="14"/>
              </w:rPr>
              <w:t>GS.9.3.6. İslamiyet öncesi Türk sanatına özgü motiflerden yararlanarak tekstil deseni oluşturabilme</w:t>
            </w:r>
          </w:p>
        </w:tc>
        <w:tc>
          <w:tcPr>
            <w:tcW w:w="3402" w:type="dxa"/>
            <w:vAlign w:val="center"/>
          </w:tcPr>
          <w:p w:rsidR="00FE0D3B" w:rsidRPr="00FE0D3B" w:rsidRDefault="00FE0D3B" w:rsidP="001C2F89">
            <w:pPr>
              <w:rPr>
                <w:sz w:val="14"/>
                <w:szCs w:val="14"/>
              </w:rPr>
            </w:pPr>
            <w:r w:rsidRPr="00FE0D3B">
              <w:rPr>
                <w:sz w:val="14"/>
                <w:szCs w:val="14"/>
              </w:rPr>
              <w:t>a Tekstil deseni çalışmasına uygun görsel anlatım araçlarını ifade eder. b İslamiyet öncesi Türk sanatına özgü motif eskizlerini tekstil desenine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Dönemlerinin Sanatsal Olarak Karşılaştırılması</w:t>
            </w:r>
          </w:p>
        </w:tc>
        <w:tc>
          <w:tcPr>
            <w:tcW w:w="2410" w:type="dxa"/>
            <w:vAlign w:val="center"/>
          </w:tcPr>
          <w:p w:rsidR="00FE0D3B" w:rsidRPr="00FE0D3B" w:rsidRDefault="00FE0D3B" w:rsidP="001C2F89">
            <w:pPr>
              <w:rPr>
                <w:sz w:val="14"/>
                <w:szCs w:val="14"/>
              </w:rPr>
            </w:pPr>
            <w:r w:rsidRPr="00FE0D3B">
              <w:rPr>
                <w:sz w:val="14"/>
                <w:szCs w:val="14"/>
              </w:rPr>
              <w:t>GS.9.3.7. Avrupa sanatının Rönesans Maniyerizm Barok Dönemlerini sanatsal olarak karşılaştırabilme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Dönemi sanat eserlerinin görsel bileşenlerindeki benzerlikleri belirler. b Rönesans Maniyerizm Barok Dönemi sanat eserlerinin görsel bileşenlerindeki farklılıkları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w:t>
            </w:r>
          </w:p>
        </w:tc>
        <w:tc>
          <w:tcPr>
            <w:tcW w:w="2410" w:type="dxa"/>
            <w:vAlign w:val="center"/>
          </w:tcPr>
          <w:p w:rsidR="00FE0D3B" w:rsidRPr="00FE0D3B" w:rsidRDefault="00FE0D3B" w:rsidP="001C2F89">
            <w:pPr>
              <w:rPr>
                <w:sz w:val="14"/>
                <w:szCs w:val="14"/>
              </w:rPr>
            </w:pPr>
            <w:r w:rsidRPr="00FE0D3B">
              <w:rPr>
                <w:sz w:val="14"/>
                <w:szCs w:val="14"/>
              </w:rPr>
              <w:t> 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Rönesans Maniyerizm Barok Dönemlerinden Bir Eserin Nokta Çizgi ve Leke Açısından Çözümlenmesi</w:t>
            </w:r>
          </w:p>
        </w:tc>
        <w:tc>
          <w:tcPr>
            <w:tcW w:w="2410" w:type="dxa"/>
            <w:vAlign w:val="center"/>
          </w:tcPr>
          <w:p w:rsidR="00FE0D3B" w:rsidRPr="00FE0D3B" w:rsidRDefault="00FE0D3B" w:rsidP="001C2F89">
            <w:pPr>
              <w:rPr>
                <w:sz w:val="14"/>
                <w:szCs w:val="14"/>
              </w:rPr>
            </w:pPr>
            <w:r w:rsidRPr="00FE0D3B">
              <w:rPr>
                <w:sz w:val="14"/>
                <w:szCs w:val="14"/>
              </w:rPr>
              <w:t>GS.9.3.8. Avrupa sanatının Rönesans Maniyerizm Barok Dönemlerinden bir eseri nokta çizgi ve leke açısından sanatsal olarak çözümleyebilme</w:t>
            </w:r>
          </w:p>
        </w:tc>
        <w:tc>
          <w:tcPr>
            <w:tcW w:w="3402" w:type="dxa"/>
            <w:vAlign w:val="center"/>
          </w:tcPr>
          <w:p w:rsidR="00FE0D3B" w:rsidRPr="00FE0D3B" w:rsidRDefault="00FE0D3B" w:rsidP="001C2F89">
            <w:pPr>
              <w:rPr>
                <w:sz w:val="14"/>
                <w:szCs w:val="14"/>
              </w:rPr>
            </w:pPr>
            <w:r w:rsidRPr="00FE0D3B">
              <w:rPr>
                <w:sz w:val="14"/>
                <w:szCs w:val="14"/>
              </w:rPr>
              <w:t>a Rönesans Maniyerizm Barok Dönemlerinden bir eserdeki nokta çizgi ve leke bileşenlerini belirler. b Rönesans Maniyerizm Barok Dönemlerinden bir eserdeki nokta çizgi ve leke bileşenleri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GS.9.4.1. Ekslibris taslağı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yönelik inceleme yapar. b Ekslibris tasarımına yönelik fikir geliştirir. c Ekslibris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Ekslibris Tasarımı</w:t>
            </w:r>
          </w:p>
        </w:tc>
        <w:tc>
          <w:tcPr>
            <w:tcW w:w="2410" w:type="dxa"/>
            <w:vAlign w:val="center"/>
          </w:tcPr>
          <w:p w:rsidR="00FE0D3B" w:rsidRPr="00FE0D3B" w:rsidRDefault="00FE0D3B" w:rsidP="001C2F89">
            <w:pPr>
              <w:rPr>
                <w:sz w:val="14"/>
                <w:szCs w:val="14"/>
              </w:rPr>
            </w:pPr>
            <w:r w:rsidRPr="00FE0D3B">
              <w:rPr>
                <w:sz w:val="14"/>
                <w:szCs w:val="14"/>
              </w:rPr>
              <w:t>2. Dönem 1. Sınav GS.9.4.2. Ekslibris tasarımı oluşturabilme</w:t>
            </w:r>
          </w:p>
        </w:tc>
        <w:tc>
          <w:tcPr>
            <w:tcW w:w="3402" w:type="dxa"/>
            <w:vAlign w:val="center"/>
          </w:tcPr>
          <w:p w:rsidR="00FE0D3B" w:rsidRPr="00FE0D3B" w:rsidRDefault="00FE0D3B" w:rsidP="001C2F89">
            <w:pPr>
              <w:rPr>
                <w:sz w:val="14"/>
                <w:szCs w:val="14"/>
              </w:rPr>
            </w:pPr>
            <w:r w:rsidRPr="00FE0D3B">
              <w:rPr>
                <w:sz w:val="14"/>
                <w:szCs w:val="14"/>
              </w:rPr>
              <w:t>a Ekslibris tasarımına uygun teknik belirler. b Ekslibris tasarım tekniğine uygun araç gereçleri belirler. c Ekslibris tasarımının üretim aşamalarını sıralar. ç Geliştirdiği fikirleri ekslibris tasarımına dönüştürür. d Ekslibris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GS.9.4.3. İllüstrasyon tasarlayabilme</w:t>
            </w:r>
          </w:p>
        </w:tc>
        <w:tc>
          <w:tcPr>
            <w:tcW w:w="3402" w:type="dxa"/>
            <w:vAlign w:val="center"/>
          </w:tcPr>
          <w:p w:rsidR="00FE0D3B" w:rsidRPr="00FE0D3B" w:rsidRDefault="00FE0D3B" w:rsidP="001C2F89">
            <w:pPr>
              <w:rPr>
                <w:sz w:val="14"/>
                <w:szCs w:val="14"/>
              </w:rPr>
            </w:pPr>
            <w:r w:rsidRPr="00FE0D3B">
              <w:rPr>
                <w:sz w:val="14"/>
                <w:szCs w:val="14"/>
              </w:rPr>
              <w:t>a İllüstrasyon örneklerini inceler. b İllüstrasyon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İllüstrasyon</w:t>
            </w:r>
          </w:p>
        </w:tc>
        <w:tc>
          <w:tcPr>
            <w:tcW w:w="2410" w:type="dxa"/>
            <w:vAlign w:val="center"/>
          </w:tcPr>
          <w:p w:rsidR="00FE0D3B" w:rsidRPr="00FE0D3B" w:rsidRDefault="00FE0D3B" w:rsidP="001C2F89">
            <w:pPr>
              <w:rPr>
                <w:sz w:val="14"/>
                <w:szCs w:val="14"/>
              </w:rPr>
            </w:pPr>
            <w:r w:rsidRPr="00FE0D3B">
              <w:rPr>
                <w:sz w:val="14"/>
                <w:szCs w:val="14"/>
              </w:rPr>
              <w:t>GS.9.4.4. İllüstrasyon oluşturabilme</w:t>
            </w:r>
          </w:p>
        </w:tc>
        <w:tc>
          <w:tcPr>
            <w:tcW w:w="3402" w:type="dxa"/>
            <w:vAlign w:val="center"/>
          </w:tcPr>
          <w:p w:rsidR="00FE0D3B" w:rsidRPr="00FE0D3B" w:rsidRDefault="00FE0D3B" w:rsidP="001C2F89">
            <w:pPr>
              <w:rPr>
                <w:sz w:val="14"/>
                <w:szCs w:val="14"/>
              </w:rPr>
            </w:pPr>
            <w:r w:rsidRPr="00FE0D3B">
              <w:rPr>
                <w:sz w:val="14"/>
                <w:szCs w:val="14"/>
              </w:rPr>
              <w:t>a İllüstrasyona uygun görsel anlatım araçlarını ifade eder. b Belirlenen konuyu illüstrasyona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GS.9.4.5. Afiş taslağı oluşturabilme</w:t>
            </w:r>
          </w:p>
        </w:tc>
        <w:tc>
          <w:tcPr>
            <w:tcW w:w="3402" w:type="dxa"/>
            <w:vAlign w:val="center"/>
          </w:tcPr>
          <w:p w:rsidR="00FE0D3B" w:rsidRPr="00FE0D3B" w:rsidRDefault="00FE0D3B" w:rsidP="001C2F89">
            <w:pPr>
              <w:rPr>
                <w:sz w:val="14"/>
                <w:szCs w:val="14"/>
              </w:rPr>
            </w:pPr>
            <w:r w:rsidRPr="00FE0D3B">
              <w:rPr>
                <w:sz w:val="14"/>
                <w:szCs w:val="14"/>
              </w:rPr>
              <w:t>a Afiş tasarımına yönelik inceleme yapar. b Afiş tasarımına yönelik fikir geliştirir. c Afiş tasarımı fikrine yönelik eskiz yapar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Afiş Tasarımı</w:t>
            </w:r>
          </w:p>
        </w:tc>
        <w:tc>
          <w:tcPr>
            <w:tcW w:w="2410" w:type="dxa"/>
            <w:vAlign w:val="center"/>
          </w:tcPr>
          <w:p w:rsidR="00FE0D3B" w:rsidRPr="00FE0D3B" w:rsidRDefault="00FE0D3B" w:rsidP="001C2F89">
            <w:pPr>
              <w:rPr>
                <w:sz w:val="14"/>
                <w:szCs w:val="14"/>
              </w:rPr>
            </w:pPr>
            <w:r w:rsidRPr="00FE0D3B">
              <w:rPr>
                <w:sz w:val="14"/>
                <w:szCs w:val="14"/>
              </w:rPr>
              <w:t>GS.9.4.6. Afiş tasarımı oluşturabilme</w:t>
            </w:r>
          </w:p>
        </w:tc>
        <w:tc>
          <w:tcPr>
            <w:tcW w:w="3402" w:type="dxa"/>
            <w:vAlign w:val="center"/>
          </w:tcPr>
          <w:p w:rsidR="00FE0D3B" w:rsidRPr="00FE0D3B" w:rsidRDefault="00FE0D3B" w:rsidP="001C2F89">
            <w:pPr>
              <w:rPr>
                <w:sz w:val="14"/>
                <w:szCs w:val="14"/>
              </w:rPr>
            </w:pPr>
            <w:r w:rsidRPr="00FE0D3B">
              <w:rPr>
                <w:sz w:val="14"/>
                <w:szCs w:val="14"/>
              </w:rPr>
              <w:t>a Afiş tasarımına uygun yöntem ve teknik belirler. b Afiş tasarımı yöntem ve tekniğine uygun araç gereçleri belirler. c Afiş tasarımınn üretim aşamalarını sıralar. ç Geliştirdiği fikirleri afiş tasarımına dönüştürür. d Afiş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GS.9.4.7.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Sanatsal yerleştirme örneklerini inceler. b Sanatsal yerleştirme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2. Dönem 2. Sınav  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Sanatsal Yerleştirme</w:t>
            </w:r>
          </w:p>
        </w:tc>
        <w:tc>
          <w:tcPr>
            <w:tcW w:w="2410" w:type="dxa"/>
            <w:vAlign w:val="center"/>
          </w:tcPr>
          <w:p w:rsidR="00FE0D3B" w:rsidRPr="00FE0D3B" w:rsidRDefault="00FE0D3B" w:rsidP="001C2F89">
            <w:pPr>
              <w:rPr>
                <w:sz w:val="14"/>
                <w:szCs w:val="14"/>
              </w:rPr>
            </w:pPr>
            <w:r w:rsidRPr="00FE0D3B">
              <w:rPr>
                <w:sz w:val="14"/>
                <w:szCs w:val="14"/>
              </w:rPr>
              <w:t>GS.9.4.8.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Sanatsal yerleştirme çalışmasına uygun görsel anlatım araçlarını ifade eder. b Belirlenen konuyu sanatsal yerleştirme çalışmasına dönüştürür.</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grup değerlendirme formu çalışma yaprağı dereceli puanlama anahtarı dereceleme ölçeği kontrol listesi performans görevi kullanılarak değerlendirilebilir. Performans görevi olarak öğrencilerden başka sanatçıların eserlerinden yararlanarak yeni eserler üreten sanatçıların çalışmalarından örnekler içeren bir sunum hazırlamaları istenebilir. Yapılan çalışmalar kontrol listesi veya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