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YAYN TRNE GöRE GAZETEĊL̇K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