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br/>
              <w:t>THEME 2 CLASSROOM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br/>
              <w:t/>
              <w:b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
              <w:b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br/>
              <w:t/>
              <w:b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br/>
              <w:t>THEME 4 FAMILY LIFE</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b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br/>
              <w:t>Target Vocabulary in Use with revisional vocabulary National and religious days festivals and celebrations Local Cultural Social and Moral Considerations of the Theme Target Language Grammatical in Use Functions of Target Language Grammar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b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br/>
              <w:t>FLFS1. ListeningWatching-Comprehension 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FLFS3. Speaking-Expression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 FLSS3. Pronunciation Selection and Use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b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b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b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b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b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