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10. SINIF  KUMANDA TEKNKLER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