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BRO YöNETİMİ ALANI 11. SINIF  MESLEKİ YABANCı DİL(BY)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