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10. SINIF  ÖRT ALT YEṪşṪṘĊL̇K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1. Dönem 1. Sınav 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İskelet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İskelet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Örtü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Örtü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Alçak mini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Alçak mini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Yüksek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Yüksek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1. Dönem 2. Sınav 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Seracılığın   Dünyadaki   ve   ülkemizdeki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Seracılığın önemi ve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 tipine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 tipine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Havalandırma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ve örtü malzemeleri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ve örtü malzemeleri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malzemelerinin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malzemelerinin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2. Dönem 1. Sınav 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Havalandırma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Isıtma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Isıtma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Gölgeleme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2. Dönem 2. Sınav 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Gölgeleme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Soğutma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Soğutma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